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0B9F0">
      <w:pPr>
        <w:rPr>
          <w:rFonts w:ascii="黑体" w:hAnsi="黑体" w:eastAsia="黑体"/>
          <w:sz w:val="32"/>
          <w:szCs w:val="32"/>
        </w:rPr>
      </w:pPr>
    </w:p>
    <w:p w14:paraId="1FFB101C">
      <w:pPr>
        <w:jc w:val="center"/>
        <w:rPr>
          <w:rFonts w:ascii="方正小标宋_GBK" w:hAnsi="宋体" w:eastAsia="方正小标宋_GBK"/>
          <w:sz w:val="44"/>
          <w:szCs w:val="44"/>
        </w:rPr>
      </w:pPr>
    </w:p>
    <w:p w14:paraId="6C49DA3F">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木垒哈萨克自治县第三小学</w:t>
      </w:r>
    </w:p>
    <w:p w14:paraId="378430E4">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14:paraId="39B27B6F">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6848CFD8">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4E3B8CA3">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C584492">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8893A9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ED3AF0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0A575AB">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FCED3A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530B35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DE8343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2283A0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F11AC6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D8C92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E26F8C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3DD304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3EEAE2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8C48FC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94B202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A36A3FF">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1FB787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3E6CEF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7796BB6">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272A265">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03E9135">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FABF7C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2B7708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AF638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B63A3B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CAB4D7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B07007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288B2C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D180A98">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2241F63">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A62710F">
      <w:r>
        <w:rPr>
          <w:rFonts w:hint="eastAsia" w:ascii="仿宋_GB2312" w:hAnsi="仿宋_GB2312" w:eastAsia="仿宋_GB2312" w:cs="仿宋_GB2312"/>
          <w:sz w:val="32"/>
          <w:szCs w:val="32"/>
        </w:rPr>
        <w:fldChar w:fldCharType="end"/>
      </w:r>
    </w:p>
    <w:p w14:paraId="058F548B">
      <w:pPr>
        <w:rPr>
          <w:rFonts w:ascii="仿宋_GB2312" w:eastAsia="仿宋_GB2312"/>
          <w:sz w:val="32"/>
          <w:szCs w:val="32"/>
        </w:rPr>
      </w:pPr>
      <w:r>
        <w:rPr>
          <w:rFonts w:hint="eastAsia" w:ascii="仿宋_GB2312" w:eastAsia="仿宋_GB2312"/>
          <w:sz w:val="32"/>
          <w:szCs w:val="32"/>
        </w:rPr>
        <w:br w:type="page"/>
      </w:r>
    </w:p>
    <w:p w14:paraId="48A7FE65">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86C57FC">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7E83A0D">
      <w:pPr>
        <w:ind w:firstLine="640" w:firstLineChars="200"/>
        <w:jc w:val="left"/>
        <w:rPr>
          <w:rFonts w:ascii="仿宋_GB2312" w:eastAsia="仿宋_GB2312"/>
          <w:sz w:val="32"/>
          <w:szCs w:val="32"/>
        </w:rPr>
      </w:pPr>
      <w:r>
        <w:rPr>
          <w:rFonts w:hint="eastAsia" w:ascii="仿宋_GB2312" w:eastAsia="仿宋_GB2312"/>
          <w:kern w:val="0"/>
          <w:sz w:val="32"/>
        </w:rPr>
        <w:t>昌吉州木垒哈萨克自治县第三小学是一所全额拨款的事业单位，主要职能：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r>
        <w:rPr>
          <w:rFonts w:hint="eastAsia" w:ascii="仿宋_GB2312" w:eastAsia="仿宋_GB2312"/>
          <w:sz w:val="32"/>
          <w:szCs w:val="32"/>
        </w:rPr>
        <w:t>。</w:t>
      </w:r>
    </w:p>
    <w:p w14:paraId="20FE8010">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59D5853">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木垒哈萨克自治县第三小学2023年度，实有人数</w:t>
      </w:r>
      <w:r>
        <w:rPr>
          <w:rFonts w:hint="eastAsia" w:ascii="仿宋_GB2312" w:eastAsia="仿宋_GB2312"/>
          <w:sz w:val="32"/>
          <w:szCs w:val="32"/>
          <w:lang w:val="zh-CN"/>
        </w:rPr>
        <w:t>172</w:t>
      </w:r>
      <w:r>
        <w:rPr>
          <w:rFonts w:hint="eastAsia" w:ascii="仿宋_GB2312" w:eastAsia="仿宋_GB2312"/>
          <w:sz w:val="32"/>
          <w:szCs w:val="32"/>
        </w:rPr>
        <w:t>人，其中：在职人员</w:t>
      </w:r>
      <w:r>
        <w:rPr>
          <w:rFonts w:hint="eastAsia" w:ascii="仿宋_GB2312" w:eastAsia="仿宋_GB2312"/>
          <w:sz w:val="32"/>
          <w:szCs w:val="32"/>
          <w:lang w:val="zh-CN"/>
        </w:rPr>
        <w:t>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95</w:t>
      </w:r>
      <w:r>
        <w:rPr>
          <w:rFonts w:hint="eastAsia" w:ascii="仿宋_GB2312" w:eastAsia="仿宋_GB2312"/>
          <w:sz w:val="32"/>
          <w:szCs w:val="32"/>
        </w:rPr>
        <w:t>人。</w:t>
      </w:r>
    </w:p>
    <w:p w14:paraId="4289C3A6">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eastAsia="仿宋_GB2312"/>
          <w:kern w:val="0"/>
          <w:sz w:val="32"/>
        </w:rPr>
        <w:t>校务办公室、党务办公室、工会、教务室、教研室、总务室、财务室</w:t>
      </w:r>
      <w:r>
        <w:rPr>
          <w:rFonts w:hint="eastAsia" w:ascii="仿宋_GB2312" w:hAnsi="宋体" w:eastAsia="仿宋_GB2312" w:cs="宋体"/>
          <w:kern w:val="0"/>
          <w:sz w:val="32"/>
          <w:szCs w:val="32"/>
        </w:rPr>
        <w:t>。</w:t>
      </w:r>
    </w:p>
    <w:p w14:paraId="2546F7BD">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C3F797D">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CB0D6A7">
      <w:pPr>
        <w:ind w:firstLine="640" w:firstLineChars="200"/>
        <w:jc w:val="left"/>
        <w:rPr>
          <w:rFonts w:ascii="仿宋_GB2312" w:eastAsia="仿宋_GB2312"/>
          <w:sz w:val="32"/>
          <w:szCs w:val="32"/>
        </w:rPr>
      </w:pPr>
      <w:r>
        <w:rPr>
          <w:rFonts w:hint="eastAsia" w:ascii="仿宋_GB2312" w:eastAsia="仿宋_GB2312"/>
          <w:sz w:val="32"/>
          <w:szCs w:val="32"/>
        </w:rPr>
        <w:t>2023年度收入总计2,058.49万元，其中：本年收入合计2,058.42万元，使用非财政拨款结余0.00万元，年初结转和结余0.07万元。</w:t>
      </w:r>
    </w:p>
    <w:p w14:paraId="28E59F27">
      <w:pPr>
        <w:ind w:firstLine="640" w:firstLineChars="200"/>
        <w:jc w:val="left"/>
        <w:rPr>
          <w:rFonts w:ascii="仿宋_GB2312" w:eastAsia="仿宋_GB2312"/>
          <w:sz w:val="32"/>
          <w:szCs w:val="32"/>
        </w:rPr>
      </w:pPr>
      <w:r>
        <w:rPr>
          <w:rFonts w:hint="eastAsia" w:ascii="仿宋_GB2312" w:eastAsia="仿宋_GB2312"/>
          <w:sz w:val="32"/>
          <w:szCs w:val="32"/>
        </w:rPr>
        <w:t>2023年度支出总计2,058.49万元，其中：本年支出合计2,057.19万元，结余分配0.00万元，年末结转和结余1.30万元。</w:t>
      </w:r>
    </w:p>
    <w:p w14:paraId="38EBC40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减少90.74万元</w:t>
      </w:r>
      <w:r>
        <w:rPr>
          <w:rFonts w:hint="eastAsia" w:ascii="仿宋_GB2312" w:eastAsia="仿宋_GB2312"/>
          <w:sz w:val="32"/>
          <w:szCs w:val="32"/>
        </w:rPr>
        <w:t>，下降4.22%，主要原因是：人员减少、基础绩效奖补发减少。</w:t>
      </w:r>
    </w:p>
    <w:p w14:paraId="4B48FF90">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705B187">
      <w:pPr>
        <w:ind w:firstLine="640" w:firstLineChars="200"/>
        <w:jc w:val="left"/>
        <w:rPr>
          <w:rFonts w:ascii="仿宋_GB2312" w:eastAsia="仿宋_GB2312"/>
          <w:sz w:val="32"/>
          <w:szCs w:val="32"/>
        </w:rPr>
      </w:pPr>
      <w:r>
        <w:rPr>
          <w:rFonts w:hint="eastAsia" w:ascii="仿宋_GB2312" w:eastAsia="仿宋_GB2312"/>
          <w:sz w:val="32"/>
          <w:szCs w:val="32"/>
        </w:rPr>
        <w:t>本年收入2,058.42万元，其中：财政拨款收入</w:t>
      </w:r>
      <w:r>
        <w:rPr>
          <w:rFonts w:hint="eastAsia" w:ascii="仿宋_GB2312" w:eastAsia="仿宋_GB2312"/>
          <w:sz w:val="32"/>
          <w:szCs w:val="32"/>
          <w:lang w:val="zh-CN"/>
        </w:rPr>
        <w:t>1,951.87</w:t>
      </w:r>
      <w:r>
        <w:rPr>
          <w:rFonts w:hint="eastAsia" w:ascii="仿宋_GB2312" w:eastAsia="仿宋_GB2312"/>
          <w:sz w:val="32"/>
          <w:szCs w:val="32"/>
        </w:rPr>
        <w:t>万元，占</w:t>
      </w:r>
      <w:r>
        <w:rPr>
          <w:rFonts w:hint="eastAsia" w:ascii="仿宋_GB2312" w:eastAsia="仿宋_GB2312"/>
          <w:sz w:val="32"/>
          <w:szCs w:val="32"/>
          <w:lang w:val="zh-CN"/>
        </w:rPr>
        <w:t>94.82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106.54</w:t>
      </w:r>
      <w:r>
        <w:rPr>
          <w:rFonts w:hint="eastAsia" w:ascii="仿宋_GB2312" w:eastAsia="仿宋_GB2312"/>
          <w:sz w:val="32"/>
          <w:szCs w:val="32"/>
        </w:rPr>
        <w:t>万元，占</w:t>
      </w:r>
      <w:r>
        <w:rPr>
          <w:rFonts w:hint="eastAsia" w:ascii="仿宋_GB2312" w:eastAsia="仿宋_GB2312"/>
          <w:sz w:val="32"/>
          <w:szCs w:val="32"/>
          <w:lang w:val="zh-CN"/>
        </w:rPr>
        <w:t>5.18</w:t>
      </w:r>
      <w:r>
        <w:rPr>
          <w:rFonts w:hint="eastAsia" w:ascii="仿宋_GB2312" w:eastAsia="仿宋_GB2312"/>
          <w:sz w:val="32"/>
          <w:szCs w:val="32"/>
        </w:rPr>
        <w:t>%。</w:t>
      </w:r>
    </w:p>
    <w:p w14:paraId="1B292616">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4A43F956">
      <w:pPr>
        <w:ind w:firstLine="640" w:firstLineChars="200"/>
        <w:jc w:val="left"/>
        <w:rPr>
          <w:rFonts w:ascii="仿宋_GB2312" w:eastAsia="仿宋_GB2312"/>
          <w:sz w:val="32"/>
          <w:szCs w:val="32"/>
        </w:rPr>
      </w:pPr>
      <w:r>
        <w:rPr>
          <w:rFonts w:hint="eastAsia" w:ascii="仿宋_GB2312" w:eastAsia="仿宋_GB2312"/>
          <w:sz w:val="32"/>
          <w:szCs w:val="32"/>
        </w:rPr>
        <w:t>本年支出2,057.19万元，其中：基本支出1,944.05万元，占94.50%；项目支出113.14万元，占5.50%；上缴上级支出0.00万元，占0.00%；经营支出0.00万元，占0.00%；对附属单位补助支出0.00万元，占0.00%。</w:t>
      </w:r>
    </w:p>
    <w:p w14:paraId="64A4FDB8">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1147B30">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1,951.87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1,951.87</w:t>
      </w:r>
      <w:r>
        <w:rPr>
          <w:rFonts w:hint="eastAsia" w:ascii="仿宋_GB2312" w:eastAsia="仿宋_GB2312"/>
          <w:sz w:val="32"/>
          <w:szCs w:val="32"/>
        </w:rPr>
        <w:t>万元。财政拨款支出总计</w:t>
      </w:r>
      <w:r>
        <w:rPr>
          <w:rFonts w:hint="eastAsia" w:ascii="仿宋_GB2312" w:eastAsia="仿宋_GB2312"/>
          <w:sz w:val="32"/>
          <w:szCs w:val="32"/>
          <w:lang w:val="zh-CN"/>
        </w:rPr>
        <w:t>1,951.87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1,951.87</w:t>
      </w:r>
      <w:r>
        <w:rPr>
          <w:rFonts w:hint="eastAsia" w:ascii="仿宋_GB2312" w:eastAsia="仿宋_GB2312"/>
          <w:sz w:val="32"/>
          <w:szCs w:val="32"/>
        </w:rPr>
        <w:t>万元。</w:t>
      </w:r>
    </w:p>
    <w:p w14:paraId="0633FA2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，下降6.75%,主要原因是：人员减少、基础绩效奖补发减少。与年初预算相比，年初预算数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万元，预决算差异率0.77%，主要原因是：</w:t>
      </w:r>
      <w:r>
        <w:rPr>
          <w:rFonts w:hint="eastAsia" w:ascii="仿宋_GB2312" w:eastAsia="仿宋_GB2312"/>
          <w:sz w:val="32"/>
          <w:szCs w:val="32"/>
          <w:lang w:val="en-US" w:eastAsia="zh-CN"/>
        </w:rPr>
        <w:t>本年单位</w:t>
      </w:r>
      <w:r>
        <w:rPr>
          <w:rFonts w:hint="eastAsia" w:ascii="仿宋_GB2312" w:eastAsia="仿宋_GB2312"/>
          <w:sz w:val="32"/>
          <w:szCs w:val="32"/>
        </w:rPr>
        <w:t>追加死亡抚恤金</w:t>
      </w:r>
      <w:r>
        <w:rPr>
          <w:rFonts w:hint="eastAsia" w:ascii="仿宋_GB2312" w:eastAsia="仿宋_GB2312"/>
          <w:sz w:val="32"/>
          <w:szCs w:val="32"/>
          <w:lang w:val="en-US" w:eastAsia="zh-CN"/>
        </w:rPr>
        <w:t>经费</w:t>
      </w:r>
      <w:r>
        <w:rPr>
          <w:rFonts w:hint="eastAsia" w:ascii="仿宋_GB2312" w:eastAsia="仿宋_GB2312"/>
          <w:sz w:val="32"/>
          <w:szCs w:val="32"/>
        </w:rPr>
        <w:t>。</w:t>
      </w:r>
    </w:p>
    <w:p w14:paraId="197559A7">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3DCDCCED">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5BCE2C1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2023年度一般公共预算财政拨款支出1,951.87万元，占本年支出合计的</w:t>
      </w:r>
      <w:r>
        <w:rPr>
          <w:rFonts w:hint="eastAsia" w:ascii="仿宋_GB2312" w:eastAsia="仿宋_GB2312"/>
          <w:sz w:val="32"/>
          <w:szCs w:val="32"/>
          <w:lang w:val="zh-CN"/>
        </w:rPr>
        <w:t>94.88%</w:t>
      </w:r>
      <w:r>
        <w:rPr>
          <w:rFonts w:hint="eastAsia" w:ascii="仿宋_GB2312" w:eastAsia="仿宋_GB2312"/>
          <w:sz w:val="32"/>
          <w:szCs w:val="32"/>
        </w:rPr>
        <w:t>。与上年相比，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，下降6.75%,主要原因是：人员减少、基础绩效奖补发减少。与年初预算相比，年初预算数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w:t>
      </w:r>
      <w:r>
        <w:rPr>
          <w:rFonts w:hint="eastAsia" w:ascii="仿宋_GB2312" w:eastAsia="仿宋_GB2312"/>
          <w:sz w:val="32"/>
          <w:szCs w:val="32"/>
          <w:lang w:val="zh-CN"/>
        </w:rPr>
        <w:t>0.77%</w:t>
      </w:r>
      <w:r>
        <w:rPr>
          <w:rFonts w:hint="eastAsia" w:ascii="仿宋_GB2312" w:eastAsia="仿宋_GB2312"/>
          <w:sz w:val="32"/>
          <w:szCs w:val="32"/>
        </w:rPr>
        <w:t>，主要原因是：</w:t>
      </w:r>
      <w:r>
        <w:rPr>
          <w:rFonts w:hint="eastAsia" w:ascii="仿宋_GB2312" w:eastAsia="仿宋_GB2312"/>
          <w:sz w:val="32"/>
          <w:szCs w:val="32"/>
          <w:lang w:val="en-US" w:eastAsia="zh-CN"/>
        </w:rPr>
        <w:t>本年单位</w:t>
      </w:r>
      <w:r>
        <w:rPr>
          <w:rFonts w:hint="eastAsia" w:ascii="仿宋_GB2312" w:eastAsia="仿宋_GB2312"/>
          <w:sz w:val="32"/>
          <w:szCs w:val="32"/>
        </w:rPr>
        <w:t>追加死亡抚恤金</w:t>
      </w:r>
      <w:r>
        <w:rPr>
          <w:rFonts w:hint="eastAsia" w:ascii="仿宋_GB2312" w:eastAsia="仿宋_GB2312"/>
          <w:sz w:val="32"/>
          <w:szCs w:val="32"/>
          <w:lang w:val="en-US" w:eastAsia="zh-CN"/>
        </w:rPr>
        <w:t>经费</w:t>
      </w:r>
      <w:r>
        <w:rPr>
          <w:rFonts w:hint="eastAsia" w:ascii="仿宋_GB2312" w:eastAsia="仿宋_GB2312"/>
          <w:sz w:val="32"/>
          <w:szCs w:val="32"/>
        </w:rPr>
        <w:t>。</w:t>
      </w:r>
    </w:p>
    <w:p w14:paraId="080A5DFC">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46343B9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1,834.01</w:t>
      </w:r>
      <w:r>
        <w:rPr>
          <w:rFonts w:ascii="仿宋_GB2312" w:eastAsia="仿宋_GB2312"/>
          <w:kern w:val="2"/>
          <w:sz w:val="32"/>
          <w:szCs w:val="32"/>
          <w:lang w:val="zh-CN"/>
        </w:rPr>
        <w:t>万元，占</w:t>
      </w:r>
      <w:r>
        <w:rPr>
          <w:rFonts w:hint="eastAsia" w:ascii="仿宋_GB2312" w:eastAsia="仿宋_GB2312"/>
          <w:kern w:val="2"/>
          <w:sz w:val="32"/>
          <w:szCs w:val="32"/>
          <w:lang w:val="zh-CN"/>
        </w:rPr>
        <w:t>93.96</w:t>
      </w:r>
      <w:r>
        <w:rPr>
          <w:rFonts w:ascii="仿宋_GB2312" w:eastAsia="仿宋_GB2312"/>
          <w:kern w:val="2"/>
          <w:sz w:val="32"/>
          <w:szCs w:val="32"/>
          <w:lang w:val="zh-CN"/>
        </w:rPr>
        <w:t>%；</w:t>
      </w:r>
    </w:p>
    <w:p w14:paraId="6C55CA68">
      <w:pPr>
        <w:pStyle w:val="8"/>
        <w:widowControl/>
        <w:spacing w:before="0" w:beforeAutospacing="0" w:after="0" w:afterAutospacing="0"/>
        <w:ind w:firstLine="640" w:firstLineChars="200"/>
        <w:rPr>
          <w:rFonts w:hint="eastAsia"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117.86</w:t>
      </w:r>
      <w:r>
        <w:rPr>
          <w:rFonts w:ascii="仿宋_GB2312" w:eastAsia="仿宋_GB2312"/>
          <w:kern w:val="2"/>
          <w:sz w:val="32"/>
          <w:szCs w:val="32"/>
          <w:lang w:val="zh-CN"/>
        </w:rPr>
        <w:t>万元，占</w:t>
      </w:r>
      <w:r>
        <w:rPr>
          <w:rFonts w:hint="eastAsia" w:ascii="仿宋_GB2312" w:eastAsia="仿宋_GB2312"/>
          <w:kern w:val="2"/>
          <w:sz w:val="32"/>
          <w:szCs w:val="32"/>
          <w:lang w:val="zh-CN"/>
        </w:rPr>
        <w:t>6.04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EE46B2D">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56387285">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1.社会保障和就业支出（类）抚恤（款）死亡抚恤（项）:支出决算数为17.50万元，比上年决算增加11.44万元，增长188.95%，主要原因是：本年死亡人员增加，抚恤金增加。</w:t>
      </w:r>
    </w:p>
    <w:p w14:paraId="41DD4A72">
      <w:pPr>
        <w:ind w:firstLine="640" w:firstLineChars="200"/>
        <w:jc w:val="left"/>
        <w:rPr>
          <w:rFonts w:ascii="仿宋_GB2312" w:eastAsia="仿宋_GB2312"/>
          <w:sz w:val="32"/>
          <w:szCs w:val="32"/>
        </w:rPr>
      </w:pPr>
      <w:r>
        <w:rPr>
          <w:rFonts w:hint="eastAsia" w:ascii="仿宋_GB2312" w:eastAsia="仿宋_GB2312"/>
          <w:sz w:val="32"/>
          <w:szCs w:val="32"/>
        </w:rPr>
        <w:t>2.教育支出（类）普通教育（款）小学教育（项）:支出决算数为1,834.01万元，比上年决算减少150.01万元，下降7.56%，主要原因是：人员减少、朱子文化长廊项目已完成。</w:t>
      </w:r>
    </w:p>
    <w:p w14:paraId="0184FA7B">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3.社会保障和就业支出（类）行政事业单位养老支出（款）事业单位离退休（项）:支出决算数为29.85万元，比上年决算增加17.34万元，增长138.50%，主要原因是：退休人员绩效工资增加。</w:t>
      </w:r>
    </w:p>
    <w:p w14:paraId="7E6CF3AD">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70.51万元，比上年决算减少0.06万元，下降0.09%，主要原因是：退休人员减少相应一次性职业年金缴费支出减少。</w:t>
      </w:r>
    </w:p>
    <w:p w14:paraId="054023B9">
      <w:pPr>
        <w:ind w:firstLine="640" w:firstLineChars="200"/>
        <w:jc w:val="left"/>
        <w:rPr>
          <w:rFonts w:ascii="仿宋_GB2312" w:eastAsia="仿宋_GB2312"/>
          <w:sz w:val="32"/>
          <w:szCs w:val="32"/>
        </w:rPr>
      </w:pPr>
      <w:r>
        <w:rPr>
          <w:rFonts w:hint="eastAsia" w:ascii="仿宋_GB2312" w:eastAsia="仿宋_GB2312"/>
          <w:sz w:val="32"/>
          <w:szCs w:val="32"/>
        </w:rPr>
        <w:t>5.教育支出（类）教育费附加安排的支出（款）城市中小学校舍建设（项）:支出决算数为0.00万元，比上年决算减少10.00万元，下降100%，主要原因是：本年无此项支出。</w:t>
      </w:r>
    </w:p>
    <w:p w14:paraId="3BB9925B">
      <w:pPr>
        <w:ind w:firstLine="640" w:firstLineChars="200"/>
        <w:jc w:val="left"/>
        <w:rPr>
          <w:rFonts w:ascii="仿宋_GB2312" w:eastAsia="仿宋_GB2312"/>
          <w:sz w:val="32"/>
          <w:szCs w:val="32"/>
        </w:rPr>
      </w:pPr>
      <w:r>
        <w:rPr>
          <w:rFonts w:hint="eastAsia" w:ascii="仿宋_GB2312" w:eastAsia="仿宋_GB2312"/>
          <w:sz w:val="32"/>
          <w:szCs w:val="32"/>
        </w:rPr>
        <w:t>6.教育支出（类）教育费附加安排的支出（款）城市中小学教学设施（项）:支出决算数为0.00万元，比上年决算减少10.00万元，下降100%，主要原因是：本年无此项支出。</w:t>
      </w:r>
    </w:p>
    <w:p w14:paraId="63FF22CD">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285924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14:paraId="19C2543C">
      <w:pPr>
        <w:ind w:firstLine="640" w:firstLineChars="200"/>
        <w:jc w:val="left"/>
        <w:rPr>
          <w:rFonts w:ascii="仿宋_GB2312" w:eastAsia="仿宋_GB2312"/>
          <w:sz w:val="32"/>
          <w:szCs w:val="32"/>
        </w:rPr>
      </w:pPr>
      <w:r>
        <w:rPr>
          <w:rFonts w:hint="eastAsia" w:ascii="仿宋_GB2312" w:eastAsia="仿宋_GB2312"/>
          <w:sz w:val="32"/>
          <w:szCs w:val="32"/>
        </w:rPr>
        <w:t>公用经费20.99万元，包括：水费、电费、邮电费、取暖费、公务用车运行维护费。</w:t>
      </w:r>
    </w:p>
    <w:p w14:paraId="3244220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DD0724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“三公”经费支出0.35万元，</w:t>
      </w:r>
      <w:r>
        <w:rPr>
          <w:rFonts w:hint="eastAsia" w:ascii="仿宋_GB2312" w:eastAsia="仿宋_GB2312"/>
          <w:sz w:val="32"/>
          <w:szCs w:val="32"/>
        </w:rPr>
        <w:t>比上年</w:t>
      </w:r>
      <w:r>
        <w:rPr>
          <w:rFonts w:hint="eastAsia" w:ascii="仿宋_GB2312" w:eastAsia="仿宋_GB2312"/>
          <w:sz w:val="32"/>
          <w:szCs w:val="32"/>
          <w:lang w:val="zh-CN"/>
        </w:rPr>
        <w:t>减少0.31万元，</w:t>
      </w:r>
      <w:r>
        <w:rPr>
          <w:rFonts w:hint="eastAsia" w:ascii="仿宋_GB2312" w:eastAsia="仿宋_GB2312"/>
          <w:sz w:val="32"/>
          <w:szCs w:val="32"/>
        </w:rPr>
        <w:t>下降47.15%,</w:t>
      </w:r>
      <w:r>
        <w:rPr>
          <w:rFonts w:hint="eastAsia" w:ascii="仿宋_GB2312" w:eastAsia="仿宋_GB2312"/>
          <w:sz w:val="32"/>
          <w:szCs w:val="32"/>
          <w:lang w:val="zh-CN"/>
        </w:rPr>
        <w:t>主要原因是：车辆使用减少维修费减少。其中：因公出国（境）费支出0.00万元，占0.00%，比上年增加0.00万元，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主要原因是：本年单位无此项支出；公务用车购置及运行维护费支出0.35万元，占100.00%，比上年减少0.31万元，</w:t>
      </w:r>
      <w:r>
        <w:rPr>
          <w:rFonts w:hint="eastAsia" w:ascii="仿宋_GB2312" w:eastAsia="仿宋_GB2312"/>
          <w:sz w:val="32"/>
          <w:szCs w:val="32"/>
        </w:rPr>
        <w:t>下降47.15%,</w:t>
      </w:r>
      <w:r>
        <w:rPr>
          <w:rFonts w:hint="eastAsia" w:ascii="仿宋_GB2312" w:eastAsia="仿宋_GB2312"/>
          <w:sz w:val="32"/>
          <w:szCs w:val="32"/>
          <w:lang w:val="zh-CN"/>
        </w:rPr>
        <w:t>主要原因是：车辆使用减少维修费减少；公务接待费支出0.00万元，占0.00%，比上年增加0.00万元，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43B757C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BA8B20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648DBFB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3EFD162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40D328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607B7277">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45DF4E1">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5CB06F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6C4782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B0BFA73">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F5BF4FC">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90B6EF0">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2023年度木垒哈萨克自治县第三小学（事业单位）公用经费支出20.99万元，比上年增加11.74万元，增长126.90%，主要原因是：校园公用取暖费增加。</w:t>
      </w:r>
    </w:p>
    <w:p w14:paraId="4E0E29E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6792C9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2023年度政府采购支出总额136.24万元，其中：政府采购货物支出43.03万元、政府采购工程支出52.14万元、政府采购服务支出41.07万元。</w:t>
      </w:r>
    </w:p>
    <w:p w14:paraId="461E77A7">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授予中小企业合同金额133.25万元，占政府采购支出总额的97.80</w:t>
      </w:r>
      <w:r>
        <w:rPr>
          <w:rFonts w:ascii="仿宋_GB2312" w:eastAsia="仿宋_GB2312"/>
          <w:sz w:val="32"/>
          <w:szCs w:val="32"/>
        </w:rPr>
        <w:t>%</w:t>
      </w:r>
      <w:r>
        <w:rPr>
          <w:rFonts w:hint="eastAsia" w:ascii="仿宋_GB2312" w:eastAsia="仿宋_GB2312"/>
          <w:sz w:val="32"/>
          <w:szCs w:val="32"/>
        </w:rPr>
        <w:t>，其中：授予小微企业合同金额132.79万元，占政府采购支出总额的97.46</w:t>
      </w:r>
      <w:r>
        <w:rPr>
          <w:rFonts w:ascii="仿宋_GB2312" w:eastAsia="仿宋_GB2312"/>
          <w:sz w:val="32"/>
          <w:szCs w:val="32"/>
        </w:rPr>
        <w:t>%</w:t>
      </w:r>
      <w:r>
        <w:rPr>
          <w:rFonts w:hint="eastAsia" w:ascii="仿宋_GB2312" w:eastAsia="仿宋_GB2312"/>
          <w:sz w:val="32"/>
          <w:szCs w:val="32"/>
        </w:rPr>
        <w:t>。</w:t>
      </w:r>
    </w:p>
    <w:p w14:paraId="7D2777C5">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5CD556A">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3,682.44万元，房屋14,559.14平方米，价值2,303.08万元。车辆1辆，价值9.80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9ED7CC2">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10AAC1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预算总额2,058.49万元，实际执行总额2,057.19万元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191"/>
        <w:gridCol w:w="1158"/>
        <w:gridCol w:w="1097"/>
        <w:gridCol w:w="1164"/>
        <w:gridCol w:w="548"/>
        <w:gridCol w:w="909"/>
        <w:gridCol w:w="920"/>
      </w:tblGrid>
      <w:tr w14:paraId="6F5A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71157D96">
            <w:pPr>
              <w:widowControl/>
              <w:jc w:val="center"/>
              <w:rPr>
                <w:rFonts w:ascii="宋体" w:hAnsi="宋体" w:cs="宋体"/>
                <w:kern w:val="0"/>
                <w:sz w:val="20"/>
                <w:szCs w:val="20"/>
              </w:rPr>
            </w:pPr>
            <w:r>
              <w:rPr>
                <w:rFonts w:hint="eastAsia" w:ascii="宋体" w:hAnsi="宋体" w:cs="宋体"/>
                <w:kern w:val="0"/>
                <w:sz w:val="20"/>
                <w:szCs w:val="20"/>
              </w:rPr>
              <w:t>部门（单位）整体支出绩效目标自评表</w:t>
            </w:r>
          </w:p>
        </w:tc>
      </w:tr>
      <w:tr w14:paraId="4ABF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3D3DE3A4">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3433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35" w:type="dxa"/>
            <w:shd w:val="clear" w:color="auto" w:fill="auto"/>
            <w:noWrap/>
            <w:vAlign w:val="center"/>
          </w:tcPr>
          <w:p w14:paraId="5D1CC2A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87" w:type="dxa"/>
            <w:gridSpan w:val="7"/>
            <w:shd w:val="clear" w:color="auto" w:fill="auto"/>
            <w:noWrap/>
            <w:vAlign w:val="center"/>
          </w:tcPr>
          <w:p w14:paraId="3DF6A80F">
            <w:pPr>
              <w:widowControl/>
              <w:jc w:val="center"/>
              <w:rPr>
                <w:rFonts w:hint="eastAsia" w:ascii="宋体" w:hAnsi="宋体" w:cs="宋体"/>
                <w:kern w:val="0"/>
                <w:sz w:val="20"/>
                <w:szCs w:val="20"/>
              </w:rPr>
            </w:pPr>
            <w:r>
              <w:rPr>
                <w:rFonts w:hint="eastAsia" w:ascii="宋体" w:hAnsi="宋体" w:cs="宋体"/>
                <w:kern w:val="0"/>
                <w:sz w:val="20"/>
                <w:szCs w:val="20"/>
              </w:rPr>
              <w:t>木垒县第三小学</w:t>
            </w:r>
          </w:p>
        </w:tc>
      </w:tr>
      <w:tr w14:paraId="7277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35" w:type="dxa"/>
            <w:vMerge w:val="restart"/>
            <w:shd w:val="clear" w:color="auto" w:fill="auto"/>
            <w:vAlign w:val="center"/>
          </w:tcPr>
          <w:p w14:paraId="15F60B0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1" w:type="dxa"/>
            <w:shd w:val="clear" w:color="auto" w:fill="auto"/>
            <w:vAlign w:val="center"/>
          </w:tcPr>
          <w:p w14:paraId="6CD68C46">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58" w:type="dxa"/>
            <w:shd w:val="clear" w:color="auto" w:fill="auto"/>
            <w:vAlign w:val="center"/>
          </w:tcPr>
          <w:p w14:paraId="23DF0B4C">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97" w:type="dxa"/>
            <w:shd w:val="clear" w:color="auto" w:fill="auto"/>
            <w:vAlign w:val="center"/>
          </w:tcPr>
          <w:p w14:paraId="3F9D0438">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64" w:type="dxa"/>
            <w:shd w:val="clear" w:color="auto" w:fill="auto"/>
            <w:vAlign w:val="center"/>
          </w:tcPr>
          <w:p w14:paraId="7FD0EF7F">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48" w:type="dxa"/>
            <w:shd w:val="clear" w:color="auto" w:fill="auto"/>
            <w:vAlign w:val="center"/>
          </w:tcPr>
          <w:p w14:paraId="71529A7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05C8D9F6">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0" w:type="dxa"/>
            <w:shd w:val="clear" w:color="auto" w:fill="auto"/>
            <w:vAlign w:val="center"/>
          </w:tcPr>
          <w:p w14:paraId="79FCEDAD">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B95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774245C">
            <w:pPr>
              <w:widowControl/>
              <w:jc w:val="left"/>
              <w:rPr>
                <w:rFonts w:ascii="宋体" w:hAnsi="宋体" w:cs="宋体"/>
                <w:kern w:val="0"/>
                <w:sz w:val="20"/>
                <w:szCs w:val="20"/>
              </w:rPr>
            </w:pPr>
          </w:p>
        </w:tc>
        <w:tc>
          <w:tcPr>
            <w:tcW w:w="1191" w:type="dxa"/>
            <w:shd w:val="clear" w:color="auto" w:fill="auto"/>
            <w:noWrap/>
            <w:vAlign w:val="center"/>
          </w:tcPr>
          <w:p w14:paraId="6AE38344">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58" w:type="dxa"/>
            <w:shd w:val="clear" w:color="auto" w:fill="auto"/>
            <w:vAlign w:val="center"/>
          </w:tcPr>
          <w:p w14:paraId="5AC828B0">
            <w:pPr>
              <w:widowControl/>
              <w:jc w:val="center"/>
              <w:rPr>
                <w:rFonts w:hint="eastAsia" w:ascii="宋体" w:hAnsi="宋体" w:cs="宋体"/>
                <w:kern w:val="0"/>
                <w:sz w:val="20"/>
                <w:szCs w:val="20"/>
              </w:rPr>
            </w:pPr>
            <w:r>
              <w:rPr>
                <w:rFonts w:hint="eastAsia" w:ascii="宋体" w:hAnsi="宋体" w:cs="宋体"/>
                <w:kern w:val="0"/>
                <w:sz w:val="20"/>
                <w:szCs w:val="20"/>
              </w:rPr>
              <w:t xml:space="preserve">94.20 </w:t>
            </w:r>
          </w:p>
        </w:tc>
        <w:tc>
          <w:tcPr>
            <w:tcW w:w="1097" w:type="dxa"/>
            <w:shd w:val="clear" w:color="auto" w:fill="auto"/>
            <w:vAlign w:val="center"/>
          </w:tcPr>
          <w:p w14:paraId="53A4C6EE">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1164" w:type="dxa"/>
            <w:shd w:val="clear" w:color="auto" w:fill="auto"/>
            <w:vAlign w:val="center"/>
          </w:tcPr>
          <w:p w14:paraId="58A7C794">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548" w:type="dxa"/>
            <w:shd w:val="clear" w:color="auto" w:fill="auto"/>
            <w:vAlign w:val="center"/>
          </w:tcPr>
          <w:p w14:paraId="7193469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2F1BA84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20ACE65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290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18A5E7CE">
            <w:pPr>
              <w:widowControl/>
              <w:jc w:val="left"/>
              <w:rPr>
                <w:rFonts w:ascii="宋体" w:hAnsi="宋体" w:cs="宋体"/>
                <w:kern w:val="0"/>
                <w:sz w:val="20"/>
                <w:szCs w:val="20"/>
              </w:rPr>
            </w:pPr>
          </w:p>
        </w:tc>
        <w:tc>
          <w:tcPr>
            <w:tcW w:w="1191" w:type="dxa"/>
            <w:shd w:val="clear" w:color="auto" w:fill="auto"/>
            <w:vAlign w:val="center"/>
          </w:tcPr>
          <w:p w14:paraId="10602668">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58" w:type="dxa"/>
            <w:shd w:val="clear" w:color="auto" w:fill="auto"/>
            <w:vAlign w:val="center"/>
          </w:tcPr>
          <w:p w14:paraId="0BC51C53">
            <w:pPr>
              <w:widowControl/>
              <w:jc w:val="center"/>
              <w:rPr>
                <w:rFonts w:hint="eastAsia" w:ascii="宋体" w:hAnsi="宋体" w:cs="宋体"/>
                <w:kern w:val="0"/>
                <w:sz w:val="20"/>
                <w:szCs w:val="20"/>
              </w:rPr>
            </w:pPr>
            <w:r>
              <w:rPr>
                <w:rFonts w:hint="eastAsia" w:ascii="宋体" w:hAnsi="宋体" w:cs="宋体"/>
                <w:kern w:val="0"/>
                <w:sz w:val="20"/>
                <w:szCs w:val="20"/>
              </w:rPr>
              <w:t xml:space="preserve">3.60 </w:t>
            </w:r>
          </w:p>
        </w:tc>
        <w:tc>
          <w:tcPr>
            <w:tcW w:w="1097" w:type="dxa"/>
            <w:shd w:val="clear" w:color="auto" w:fill="auto"/>
            <w:vAlign w:val="center"/>
          </w:tcPr>
          <w:p w14:paraId="4C34B435">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1164" w:type="dxa"/>
            <w:shd w:val="clear" w:color="auto" w:fill="auto"/>
            <w:vAlign w:val="center"/>
          </w:tcPr>
          <w:p w14:paraId="2E282B08">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548" w:type="dxa"/>
            <w:shd w:val="clear" w:color="auto" w:fill="auto"/>
            <w:vAlign w:val="center"/>
          </w:tcPr>
          <w:p w14:paraId="2643748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6C8A1E3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56445D5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8FB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342E546">
            <w:pPr>
              <w:widowControl/>
              <w:jc w:val="left"/>
              <w:rPr>
                <w:rFonts w:ascii="宋体" w:hAnsi="宋体" w:cs="宋体"/>
                <w:kern w:val="0"/>
                <w:sz w:val="20"/>
                <w:szCs w:val="20"/>
              </w:rPr>
            </w:pPr>
          </w:p>
        </w:tc>
        <w:tc>
          <w:tcPr>
            <w:tcW w:w="1191" w:type="dxa"/>
            <w:shd w:val="clear" w:color="auto" w:fill="auto"/>
            <w:vAlign w:val="center"/>
          </w:tcPr>
          <w:p w14:paraId="3A7EA04D">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58" w:type="dxa"/>
            <w:shd w:val="clear" w:color="auto" w:fill="auto"/>
            <w:vAlign w:val="center"/>
          </w:tcPr>
          <w:p w14:paraId="1655BEF2">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14:paraId="46DB2529">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1164" w:type="dxa"/>
            <w:shd w:val="clear" w:color="auto" w:fill="auto"/>
            <w:vAlign w:val="center"/>
          </w:tcPr>
          <w:p w14:paraId="75FDE67C">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548" w:type="dxa"/>
            <w:shd w:val="clear" w:color="auto" w:fill="auto"/>
            <w:vAlign w:val="center"/>
          </w:tcPr>
          <w:p w14:paraId="5639E49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22695A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4A32435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D90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3410D56A">
            <w:pPr>
              <w:widowControl/>
              <w:jc w:val="left"/>
              <w:rPr>
                <w:rFonts w:ascii="宋体" w:hAnsi="宋体" w:cs="宋体"/>
                <w:kern w:val="0"/>
                <w:sz w:val="20"/>
                <w:szCs w:val="20"/>
              </w:rPr>
            </w:pPr>
          </w:p>
        </w:tc>
        <w:tc>
          <w:tcPr>
            <w:tcW w:w="1191" w:type="dxa"/>
            <w:shd w:val="clear" w:color="auto" w:fill="auto"/>
            <w:vAlign w:val="center"/>
          </w:tcPr>
          <w:p w14:paraId="548D5398">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58" w:type="dxa"/>
            <w:shd w:val="clear" w:color="auto" w:fill="auto"/>
            <w:vAlign w:val="center"/>
          </w:tcPr>
          <w:p w14:paraId="6166406A">
            <w:pPr>
              <w:widowControl/>
              <w:jc w:val="center"/>
              <w:rPr>
                <w:rFonts w:hint="eastAsia" w:ascii="宋体" w:hAnsi="宋体" w:cs="宋体"/>
                <w:kern w:val="0"/>
                <w:sz w:val="20"/>
                <w:szCs w:val="20"/>
              </w:rPr>
            </w:pPr>
            <w:r>
              <w:rPr>
                <w:rFonts w:hint="eastAsia" w:ascii="宋体" w:hAnsi="宋体" w:cs="宋体"/>
                <w:kern w:val="0"/>
                <w:sz w:val="20"/>
                <w:szCs w:val="20"/>
              </w:rPr>
              <w:t xml:space="preserve">1,839.18 </w:t>
            </w:r>
          </w:p>
        </w:tc>
        <w:tc>
          <w:tcPr>
            <w:tcW w:w="1097" w:type="dxa"/>
            <w:shd w:val="clear" w:color="auto" w:fill="auto"/>
            <w:vAlign w:val="center"/>
          </w:tcPr>
          <w:p w14:paraId="70E99EA2">
            <w:pPr>
              <w:widowControl/>
              <w:jc w:val="center"/>
              <w:rPr>
                <w:rFonts w:hint="eastAsia" w:ascii="宋体" w:hAnsi="宋体" w:cs="宋体"/>
                <w:kern w:val="0"/>
                <w:sz w:val="20"/>
                <w:szCs w:val="20"/>
              </w:rPr>
            </w:pPr>
            <w:r>
              <w:rPr>
                <w:rFonts w:hint="eastAsia" w:ascii="宋体" w:hAnsi="宋体" w:cs="宋体"/>
                <w:kern w:val="0"/>
                <w:sz w:val="20"/>
                <w:szCs w:val="20"/>
              </w:rPr>
              <w:t xml:space="preserve">1,944.05 </w:t>
            </w:r>
          </w:p>
        </w:tc>
        <w:tc>
          <w:tcPr>
            <w:tcW w:w="1164" w:type="dxa"/>
            <w:shd w:val="clear" w:color="auto" w:fill="auto"/>
            <w:vAlign w:val="center"/>
          </w:tcPr>
          <w:p w14:paraId="4DB4B2A0">
            <w:pPr>
              <w:widowControl/>
              <w:jc w:val="center"/>
              <w:rPr>
                <w:rFonts w:hint="eastAsia" w:ascii="宋体" w:hAnsi="宋体" w:cs="宋体"/>
                <w:kern w:val="0"/>
                <w:sz w:val="20"/>
                <w:szCs w:val="20"/>
              </w:rPr>
            </w:pPr>
            <w:r>
              <w:rPr>
                <w:rFonts w:hint="eastAsia" w:ascii="宋体" w:hAnsi="宋体" w:cs="宋体"/>
                <w:kern w:val="0"/>
                <w:sz w:val="20"/>
                <w:szCs w:val="20"/>
              </w:rPr>
              <w:t xml:space="preserve">2,058.49 </w:t>
            </w:r>
          </w:p>
        </w:tc>
        <w:tc>
          <w:tcPr>
            <w:tcW w:w="548" w:type="dxa"/>
            <w:shd w:val="clear" w:color="auto" w:fill="auto"/>
            <w:vAlign w:val="center"/>
          </w:tcPr>
          <w:p w14:paraId="195C975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vAlign w:val="center"/>
          </w:tcPr>
          <w:p w14:paraId="215EB38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vAlign w:val="center"/>
          </w:tcPr>
          <w:p w14:paraId="5EA04B46">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420E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6096DB81">
            <w:pPr>
              <w:widowControl/>
              <w:jc w:val="left"/>
              <w:rPr>
                <w:rFonts w:ascii="宋体" w:hAnsi="宋体" w:cs="宋体"/>
                <w:kern w:val="0"/>
                <w:sz w:val="20"/>
                <w:szCs w:val="20"/>
              </w:rPr>
            </w:pPr>
            <w:bookmarkStart w:id="48" w:name="_GoBack" w:colFirst="6" w:colLast="6"/>
          </w:p>
        </w:tc>
        <w:tc>
          <w:tcPr>
            <w:tcW w:w="1191" w:type="dxa"/>
            <w:shd w:val="clear" w:color="auto" w:fill="auto"/>
            <w:vAlign w:val="center"/>
          </w:tcPr>
          <w:p w14:paraId="25A4C6D2">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58" w:type="dxa"/>
            <w:shd w:val="clear" w:color="auto" w:fill="auto"/>
            <w:vAlign w:val="center"/>
          </w:tcPr>
          <w:p w14:paraId="7ACD8030">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14:paraId="450AF877">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164" w:type="dxa"/>
            <w:shd w:val="clear" w:color="auto" w:fill="auto"/>
            <w:vAlign w:val="center"/>
          </w:tcPr>
          <w:p w14:paraId="1C5D9957">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48" w:type="dxa"/>
            <w:shd w:val="clear" w:color="auto" w:fill="auto"/>
            <w:vAlign w:val="center"/>
          </w:tcPr>
          <w:p w14:paraId="4DA1403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vAlign w:val="center"/>
          </w:tcPr>
          <w:p w14:paraId="394C747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vAlign w:val="center"/>
          </w:tcPr>
          <w:p w14:paraId="5802136C">
            <w:pPr>
              <w:widowControl/>
              <w:jc w:val="center"/>
              <w:rPr>
                <w:rFonts w:hint="eastAsia" w:ascii="宋体" w:hAnsi="宋体" w:cs="宋体"/>
                <w:kern w:val="0"/>
                <w:sz w:val="20"/>
                <w:szCs w:val="20"/>
              </w:rPr>
            </w:pPr>
            <w:r>
              <w:rPr>
                <w:rFonts w:hint="eastAsia" w:ascii="宋体" w:hAnsi="宋体" w:cs="宋体"/>
                <w:kern w:val="0"/>
                <w:sz w:val="20"/>
                <w:szCs w:val="20"/>
              </w:rPr>
              <w:t>　</w:t>
            </w:r>
          </w:p>
        </w:tc>
      </w:tr>
      <w:bookmarkEnd w:id="48"/>
      <w:tr w14:paraId="11A7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5759213D">
            <w:pPr>
              <w:widowControl/>
              <w:jc w:val="left"/>
              <w:rPr>
                <w:rFonts w:ascii="宋体" w:hAnsi="宋体" w:cs="宋体"/>
                <w:kern w:val="0"/>
                <w:sz w:val="20"/>
                <w:szCs w:val="20"/>
              </w:rPr>
            </w:pPr>
          </w:p>
        </w:tc>
        <w:tc>
          <w:tcPr>
            <w:tcW w:w="1191" w:type="dxa"/>
            <w:shd w:val="clear" w:color="auto" w:fill="auto"/>
            <w:vAlign w:val="center"/>
          </w:tcPr>
          <w:p w14:paraId="77EBC07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58" w:type="dxa"/>
            <w:shd w:val="clear" w:color="auto" w:fill="auto"/>
            <w:vAlign w:val="center"/>
          </w:tcPr>
          <w:p w14:paraId="61818349">
            <w:pPr>
              <w:widowControl/>
              <w:jc w:val="center"/>
              <w:rPr>
                <w:rFonts w:hint="eastAsia" w:ascii="宋体" w:hAnsi="宋体" w:cs="宋体"/>
                <w:kern w:val="0"/>
                <w:sz w:val="20"/>
                <w:szCs w:val="20"/>
              </w:rPr>
            </w:pPr>
            <w:r>
              <w:rPr>
                <w:rFonts w:hint="eastAsia" w:ascii="宋体" w:hAnsi="宋体" w:cs="宋体"/>
                <w:kern w:val="0"/>
                <w:sz w:val="20"/>
                <w:szCs w:val="20"/>
              </w:rPr>
              <w:t xml:space="preserve">1,936.98 </w:t>
            </w:r>
          </w:p>
        </w:tc>
        <w:tc>
          <w:tcPr>
            <w:tcW w:w="1097" w:type="dxa"/>
            <w:shd w:val="clear" w:color="auto" w:fill="auto"/>
            <w:vAlign w:val="center"/>
          </w:tcPr>
          <w:p w14:paraId="0748201D">
            <w:pPr>
              <w:widowControl/>
              <w:jc w:val="center"/>
              <w:rPr>
                <w:rFonts w:hint="eastAsia" w:ascii="宋体" w:hAnsi="宋体" w:cs="宋体"/>
                <w:kern w:val="0"/>
                <w:sz w:val="20"/>
                <w:szCs w:val="20"/>
              </w:rPr>
            </w:pPr>
            <w:r>
              <w:rPr>
                <w:rFonts w:hint="default" w:ascii="宋体" w:hAnsi="宋体" w:cs="宋体"/>
                <w:kern w:val="0"/>
                <w:sz w:val="20"/>
                <w:szCs w:val="20"/>
                <w:lang w:val="en-US" w:eastAsia="zh-CN"/>
              </w:rPr>
              <w:t>2,058.49</w:t>
            </w:r>
          </w:p>
        </w:tc>
        <w:tc>
          <w:tcPr>
            <w:tcW w:w="1164" w:type="dxa"/>
            <w:shd w:val="clear"/>
            <w:vAlign w:val="center"/>
          </w:tcPr>
          <w:p w14:paraId="0E614A1A">
            <w:pPr>
              <w:widowControl/>
              <w:jc w:val="center"/>
              <w:rPr>
                <w:rFonts w:hint="eastAsia" w:ascii="宋体" w:hAnsi="宋体" w:cs="宋体"/>
                <w:kern w:val="0"/>
                <w:sz w:val="20"/>
                <w:szCs w:val="20"/>
                <w:lang w:val="en-US" w:eastAsia="zh-CN"/>
              </w:rPr>
            </w:pPr>
            <w:r>
              <w:rPr>
                <w:rFonts w:hint="default" w:ascii="宋体" w:hAnsi="宋体" w:cs="宋体"/>
                <w:kern w:val="0"/>
                <w:sz w:val="20"/>
                <w:szCs w:val="20"/>
                <w:lang w:val="en-US" w:eastAsia="zh-CN"/>
              </w:rPr>
              <w:t>2,057.19</w:t>
            </w:r>
          </w:p>
        </w:tc>
        <w:tc>
          <w:tcPr>
            <w:tcW w:w="548" w:type="dxa"/>
            <w:shd w:val="clear" w:color="auto" w:fill="auto"/>
            <w:vAlign w:val="center"/>
          </w:tcPr>
          <w:p w14:paraId="22A74C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34F462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1F5B6BD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759E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535" w:type="dxa"/>
            <w:vMerge w:val="restart"/>
            <w:shd w:val="clear" w:color="auto" w:fill="auto"/>
            <w:vAlign w:val="center"/>
          </w:tcPr>
          <w:p w14:paraId="3436151C">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46" w:type="dxa"/>
            <w:gridSpan w:val="3"/>
            <w:shd w:val="clear" w:color="auto" w:fill="auto"/>
            <w:noWrap/>
            <w:vAlign w:val="center"/>
          </w:tcPr>
          <w:p w14:paraId="13C9767F">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41" w:type="dxa"/>
            <w:gridSpan w:val="4"/>
            <w:shd w:val="clear" w:color="auto" w:fill="auto"/>
            <w:noWrap/>
            <w:vAlign w:val="center"/>
          </w:tcPr>
          <w:p w14:paraId="23905AE9">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62EE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535" w:type="dxa"/>
            <w:vMerge w:val="continue"/>
            <w:vAlign w:val="center"/>
          </w:tcPr>
          <w:p w14:paraId="2BCC6D0D">
            <w:pPr>
              <w:widowControl/>
              <w:jc w:val="left"/>
              <w:rPr>
                <w:rFonts w:ascii="宋体" w:hAnsi="宋体" w:cs="宋体"/>
                <w:kern w:val="0"/>
                <w:sz w:val="20"/>
                <w:szCs w:val="20"/>
              </w:rPr>
            </w:pPr>
          </w:p>
        </w:tc>
        <w:tc>
          <w:tcPr>
            <w:tcW w:w="3446" w:type="dxa"/>
            <w:gridSpan w:val="3"/>
            <w:shd w:val="clear" w:color="auto" w:fill="auto"/>
            <w:vAlign w:val="center"/>
          </w:tcPr>
          <w:p w14:paraId="1A1397B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目标1：宣传贯彻执行党和国家的教育方针、政策、法律法规等，坚持依法执教、依法治学，贯彻执行县教育局的行政规章制度；</w:t>
            </w:r>
          </w:p>
          <w:p w14:paraId="77FABC0D">
            <w:pPr>
              <w:widowControl/>
              <w:jc w:val="center"/>
              <w:rPr>
                <w:rFonts w:hint="eastAsia" w:ascii="宋体" w:hAnsi="宋体" w:eastAsia="宋体" w:cs="宋体"/>
                <w:kern w:val="0"/>
                <w:sz w:val="20"/>
                <w:szCs w:val="20"/>
                <w:lang w:eastAsia="zh-CN"/>
              </w:rPr>
            </w:pPr>
          </w:p>
          <w:p w14:paraId="4276CAE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目标2：资助学生人数176人，助学金发放及时率100%，有效减轻贫困家庭经济困难学生的经济负担，满足家庭经济困难学生基本生活需要，各项国家资助政策按规定得到落实，教育公平显著提升。</w:t>
            </w:r>
          </w:p>
          <w:p w14:paraId="0A10489F">
            <w:pPr>
              <w:widowControl/>
              <w:jc w:val="center"/>
              <w:rPr>
                <w:rFonts w:hint="eastAsia" w:ascii="宋体" w:hAnsi="宋体" w:eastAsia="宋体" w:cs="宋体"/>
                <w:kern w:val="0"/>
                <w:sz w:val="20"/>
                <w:szCs w:val="20"/>
                <w:lang w:eastAsia="zh-CN"/>
              </w:rPr>
            </w:pPr>
          </w:p>
          <w:p w14:paraId="24A7202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目标3：组织开展本校的教育科学科研和教育教学改革，全力推进教育实施；为提高教育教学水平，教师参加各类培训数量≥3次，教师培训合格率达100%，每学期参加教学质量分析会2次，各类考试完成及时率100%，控辍保学率≤0%。</w:t>
            </w:r>
          </w:p>
          <w:p w14:paraId="1542740E">
            <w:pPr>
              <w:widowControl/>
              <w:jc w:val="center"/>
              <w:rPr>
                <w:rFonts w:hint="eastAsia" w:ascii="宋体" w:hAnsi="宋体" w:eastAsia="宋体" w:cs="宋体"/>
                <w:kern w:val="0"/>
                <w:sz w:val="20"/>
                <w:szCs w:val="20"/>
                <w:lang w:eastAsia="zh-CN"/>
              </w:rPr>
            </w:pPr>
          </w:p>
          <w:p w14:paraId="457ECC9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目标4：按照义务教育课程计划，开齐课程，开足课时，认真实施小学的教育教学管理，全面推进素质教育，全面提高教育教学质量；保障学校工作正常有序开展.</w:t>
            </w:r>
          </w:p>
          <w:p w14:paraId="0543FEC7">
            <w:pPr>
              <w:widowControl/>
              <w:jc w:val="center"/>
              <w:rPr>
                <w:rFonts w:hint="eastAsia" w:ascii="宋体" w:hAnsi="宋体" w:eastAsia="宋体" w:cs="宋体"/>
                <w:kern w:val="0"/>
                <w:sz w:val="20"/>
                <w:szCs w:val="20"/>
                <w:lang w:eastAsia="zh-CN"/>
              </w:rPr>
            </w:pPr>
          </w:p>
          <w:p w14:paraId="2B3CD39A">
            <w:pPr>
              <w:widowControl/>
              <w:jc w:val="center"/>
              <w:rPr>
                <w:rFonts w:hint="eastAsia" w:ascii="宋体" w:hAnsi="宋体" w:cs="宋体"/>
                <w:kern w:val="0"/>
                <w:sz w:val="20"/>
                <w:szCs w:val="20"/>
              </w:rPr>
            </w:pPr>
            <w:r>
              <w:rPr>
                <w:rFonts w:hint="eastAsia" w:ascii="宋体" w:hAnsi="宋体" w:cs="宋体"/>
                <w:kern w:val="0"/>
                <w:sz w:val="20"/>
                <w:szCs w:val="20"/>
              </w:rPr>
              <w:t>目标5：保障学校各项工作圆满完成。</w:t>
            </w:r>
          </w:p>
        </w:tc>
        <w:tc>
          <w:tcPr>
            <w:tcW w:w="3541" w:type="dxa"/>
            <w:gridSpan w:val="4"/>
            <w:shd w:val="clear" w:color="auto" w:fill="auto"/>
            <w:vAlign w:val="center"/>
          </w:tcPr>
          <w:p w14:paraId="6A52CE5E">
            <w:pPr>
              <w:widowControl/>
              <w:jc w:val="center"/>
              <w:rPr>
                <w:rFonts w:hint="eastAsia" w:ascii="宋体" w:hAnsi="宋体" w:cs="宋体"/>
                <w:kern w:val="0"/>
                <w:sz w:val="20"/>
                <w:szCs w:val="20"/>
              </w:rPr>
            </w:pPr>
            <w:r>
              <w:rPr>
                <w:rFonts w:hint="eastAsia" w:ascii="宋体" w:hAnsi="宋体" w:cs="宋体"/>
                <w:kern w:val="0"/>
                <w:sz w:val="20"/>
                <w:szCs w:val="20"/>
              </w:rPr>
              <w:t>截止2023年12月31日，我单位已完成：1助学金资助学生人数180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控辍保学率=0%。3.加强校园文化建设，保障学校工作正常有序开展。4.保障学校各项工作圆满完成。。</w:t>
            </w:r>
          </w:p>
        </w:tc>
      </w:tr>
      <w:tr w14:paraId="48F6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35" w:type="dxa"/>
            <w:shd w:val="clear" w:color="auto" w:fill="auto"/>
            <w:vAlign w:val="center"/>
          </w:tcPr>
          <w:p w14:paraId="3F9C9348">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1" w:type="dxa"/>
            <w:shd w:val="clear" w:color="auto" w:fill="auto"/>
            <w:vAlign w:val="center"/>
          </w:tcPr>
          <w:p w14:paraId="660F2627">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58" w:type="dxa"/>
            <w:shd w:val="clear" w:color="auto" w:fill="auto"/>
            <w:vAlign w:val="center"/>
          </w:tcPr>
          <w:p w14:paraId="64D82A7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97" w:type="dxa"/>
            <w:shd w:val="clear" w:color="auto" w:fill="auto"/>
            <w:vAlign w:val="center"/>
          </w:tcPr>
          <w:p w14:paraId="048B0C0C">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64" w:type="dxa"/>
            <w:shd w:val="clear" w:color="auto" w:fill="auto"/>
            <w:vAlign w:val="center"/>
          </w:tcPr>
          <w:p w14:paraId="080E78B9">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48" w:type="dxa"/>
            <w:shd w:val="clear" w:color="auto" w:fill="auto"/>
            <w:vAlign w:val="center"/>
          </w:tcPr>
          <w:p w14:paraId="699349D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4CC217F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0" w:type="dxa"/>
            <w:shd w:val="clear" w:color="auto" w:fill="auto"/>
            <w:vAlign w:val="center"/>
          </w:tcPr>
          <w:p w14:paraId="5BE3D5E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6D2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vAlign w:val="center"/>
          </w:tcPr>
          <w:p w14:paraId="621A02DD">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1" w:type="dxa"/>
            <w:vMerge w:val="restart"/>
            <w:shd w:val="clear" w:color="auto" w:fill="auto"/>
            <w:vAlign w:val="center"/>
          </w:tcPr>
          <w:p w14:paraId="2759CCF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108D42ED">
            <w:pPr>
              <w:widowControl/>
              <w:jc w:val="center"/>
              <w:rPr>
                <w:rFonts w:hint="eastAsia" w:ascii="宋体" w:hAnsi="宋体" w:cs="宋体"/>
                <w:kern w:val="0"/>
                <w:sz w:val="20"/>
                <w:szCs w:val="20"/>
              </w:rPr>
            </w:pPr>
            <w:r>
              <w:rPr>
                <w:rFonts w:hint="eastAsia" w:ascii="宋体" w:hAnsi="宋体" w:cs="宋体"/>
                <w:kern w:val="0"/>
                <w:sz w:val="20"/>
                <w:szCs w:val="20"/>
              </w:rPr>
              <w:t>保障在职人员数量</w:t>
            </w:r>
          </w:p>
        </w:tc>
        <w:tc>
          <w:tcPr>
            <w:tcW w:w="1097" w:type="dxa"/>
            <w:shd w:val="clear" w:color="auto" w:fill="auto"/>
            <w:vAlign w:val="center"/>
          </w:tcPr>
          <w:p w14:paraId="0DA39749">
            <w:pPr>
              <w:widowControl/>
              <w:jc w:val="center"/>
              <w:rPr>
                <w:rFonts w:hint="eastAsia" w:ascii="宋体" w:hAnsi="宋体" w:cs="宋体"/>
                <w:kern w:val="0"/>
                <w:sz w:val="20"/>
                <w:szCs w:val="20"/>
              </w:rPr>
            </w:pPr>
            <w:r>
              <w:rPr>
                <w:rFonts w:hint="eastAsia" w:ascii="宋体" w:hAnsi="宋体" w:cs="宋体"/>
                <w:kern w:val="0"/>
                <w:sz w:val="20"/>
                <w:szCs w:val="20"/>
              </w:rPr>
              <w:t>&gt;=89人</w:t>
            </w:r>
          </w:p>
        </w:tc>
        <w:tc>
          <w:tcPr>
            <w:tcW w:w="1164" w:type="dxa"/>
            <w:shd w:val="clear" w:color="auto" w:fill="auto"/>
            <w:vAlign w:val="center"/>
          </w:tcPr>
          <w:p w14:paraId="08FB71CF">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548" w:type="dxa"/>
            <w:shd w:val="clear" w:color="auto" w:fill="auto"/>
            <w:vAlign w:val="center"/>
          </w:tcPr>
          <w:p w14:paraId="529AE9A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97DE285">
            <w:pPr>
              <w:widowControl/>
              <w:jc w:val="center"/>
              <w:rPr>
                <w:rFonts w:hint="eastAsia" w:ascii="宋体" w:hAnsi="宋体" w:cs="宋体"/>
                <w:kern w:val="0"/>
                <w:sz w:val="20"/>
                <w:szCs w:val="20"/>
              </w:rPr>
            </w:pPr>
            <w:r>
              <w:rPr>
                <w:rFonts w:hint="eastAsia" w:ascii="宋体" w:hAnsi="宋体" w:cs="宋体"/>
                <w:kern w:val="0"/>
                <w:sz w:val="20"/>
                <w:szCs w:val="20"/>
              </w:rPr>
              <w:t>89人</w:t>
            </w:r>
          </w:p>
        </w:tc>
        <w:tc>
          <w:tcPr>
            <w:tcW w:w="920" w:type="dxa"/>
            <w:shd w:val="clear" w:color="auto" w:fill="auto"/>
            <w:vAlign w:val="center"/>
          </w:tcPr>
          <w:p w14:paraId="00AC29C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B24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3CCCFF65">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1" w:type="dxa"/>
            <w:vMerge w:val="continue"/>
            <w:vAlign w:val="center"/>
          </w:tcPr>
          <w:p w14:paraId="351D9525">
            <w:pPr>
              <w:widowControl/>
              <w:jc w:val="left"/>
              <w:rPr>
                <w:rFonts w:ascii="宋体" w:hAnsi="宋体" w:cs="宋体"/>
                <w:kern w:val="0"/>
                <w:sz w:val="20"/>
                <w:szCs w:val="20"/>
              </w:rPr>
            </w:pPr>
          </w:p>
        </w:tc>
        <w:tc>
          <w:tcPr>
            <w:tcW w:w="1158" w:type="dxa"/>
            <w:shd w:val="clear" w:color="auto" w:fill="auto"/>
            <w:vAlign w:val="center"/>
          </w:tcPr>
          <w:p w14:paraId="20E57FD7">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097" w:type="dxa"/>
            <w:shd w:val="clear" w:color="auto" w:fill="auto"/>
            <w:vAlign w:val="center"/>
          </w:tcPr>
          <w:p w14:paraId="27A00A4D">
            <w:pPr>
              <w:widowControl/>
              <w:jc w:val="center"/>
              <w:rPr>
                <w:rFonts w:hint="eastAsia" w:ascii="宋体" w:hAnsi="宋体" w:cs="宋体"/>
                <w:kern w:val="0"/>
                <w:sz w:val="20"/>
                <w:szCs w:val="20"/>
              </w:rPr>
            </w:pPr>
            <w:r>
              <w:rPr>
                <w:rFonts w:hint="eastAsia" w:ascii="宋体" w:hAnsi="宋体" w:cs="宋体"/>
                <w:kern w:val="0"/>
                <w:sz w:val="20"/>
                <w:szCs w:val="20"/>
              </w:rPr>
              <w:t>&gt;=176人</w:t>
            </w:r>
          </w:p>
        </w:tc>
        <w:tc>
          <w:tcPr>
            <w:tcW w:w="1164" w:type="dxa"/>
            <w:shd w:val="clear" w:color="auto" w:fill="auto"/>
            <w:vAlign w:val="center"/>
          </w:tcPr>
          <w:p w14:paraId="73E045C6">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445AF4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52DCC463">
            <w:pPr>
              <w:widowControl/>
              <w:jc w:val="center"/>
              <w:rPr>
                <w:rFonts w:hint="eastAsia" w:ascii="宋体" w:hAnsi="宋体" w:cs="宋体"/>
                <w:kern w:val="0"/>
                <w:sz w:val="20"/>
                <w:szCs w:val="20"/>
              </w:rPr>
            </w:pPr>
            <w:r>
              <w:rPr>
                <w:rFonts w:hint="eastAsia" w:ascii="宋体" w:hAnsi="宋体" w:cs="宋体"/>
                <w:kern w:val="0"/>
                <w:sz w:val="20"/>
                <w:szCs w:val="20"/>
              </w:rPr>
              <w:t>180人</w:t>
            </w:r>
          </w:p>
        </w:tc>
        <w:tc>
          <w:tcPr>
            <w:tcW w:w="920" w:type="dxa"/>
            <w:shd w:val="clear" w:color="auto" w:fill="auto"/>
            <w:vAlign w:val="center"/>
          </w:tcPr>
          <w:p w14:paraId="12A009D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526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C5B2E96">
            <w:pPr>
              <w:widowControl/>
              <w:jc w:val="left"/>
              <w:rPr>
                <w:rFonts w:ascii="宋体" w:hAnsi="宋体" w:cs="宋体"/>
                <w:kern w:val="0"/>
                <w:sz w:val="20"/>
                <w:szCs w:val="20"/>
              </w:rPr>
            </w:pPr>
          </w:p>
        </w:tc>
        <w:tc>
          <w:tcPr>
            <w:tcW w:w="1191" w:type="dxa"/>
            <w:vMerge w:val="continue"/>
            <w:vAlign w:val="center"/>
          </w:tcPr>
          <w:p w14:paraId="5DE8D102">
            <w:pPr>
              <w:widowControl/>
              <w:jc w:val="left"/>
              <w:rPr>
                <w:rFonts w:ascii="宋体" w:hAnsi="宋体" w:cs="宋体"/>
                <w:kern w:val="0"/>
                <w:sz w:val="20"/>
                <w:szCs w:val="20"/>
              </w:rPr>
            </w:pPr>
          </w:p>
        </w:tc>
        <w:tc>
          <w:tcPr>
            <w:tcW w:w="1158" w:type="dxa"/>
            <w:shd w:val="clear" w:color="auto" w:fill="auto"/>
            <w:vAlign w:val="center"/>
          </w:tcPr>
          <w:p w14:paraId="7159BF99">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097" w:type="dxa"/>
            <w:shd w:val="clear" w:color="auto" w:fill="auto"/>
            <w:vAlign w:val="center"/>
          </w:tcPr>
          <w:p w14:paraId="1A613CBA">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64" w:type="dxa"/>
            <w:shd w:val="clear" w:color="auto" w:fill="auto"/>
            <w:vAlign w:val="center"/>
          </w:tcPr>
          <w:p w14:paraId="76567284">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5B4E096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3A9FE4E2">
            <w:pPr>
              <w:widowControl/>
              <w:jc w:val="center"/>
              <w:rPr>
                <w:rFonts w:hint="eastAsia" w:ascii="宋体" w:hAnsi="宋体" w:cs="宋体"/>
                <w:kern w:val="0"/>
                <w:sz w:val="20"/>
                <w:szCs w:val="20"/>
              </w:rPr>
            </w:pPr>
            <w:r>
              <w:rPr>
                <w:rFonts w:hint="eastAsia" w:ascii="宋体" w:hAnsi="宋体" w:cs="宋体"/>
                <w:kern w:val="0"/>
                <w:sz w:val="20"/>
                <w:szCs w:val="20"/>
              </w:rPr>
              <w:t>3次</w:t>
            </w:r>
          </w:p>
        </w:tc>
        <w:tc>
          <w:tcPr>
            <w:tcW w:w="920" w:type="dxa"/>
            <w:shd w:val="clear" w:color="auto" w:fill="auto"/>
            <w:vAlign w:val="center"/>
          </w:tcPr>
          <w:p w14:paraId="2CEFC3D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7B2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63E5EBB4">
            <w:pPr>
              <w:widowControl/>
              <w:jc w:val="left"/>
              <w:rPr>
                <w:rFonts w:ascii="宋体" w:hAnsi="宋体" w:cs="宋体"/>
                <w:kern w:val="0"/>
                <w:sz w:val="20"/>
                <w:szCs w:val="20"/>
              </w:rPr>
            </w:pPr>
          </w:p>
        </w:tc>
        <w:tc>
          <w:tcPr>
            <w:tcW w:w="1191" w:type="dxa"/>
            <w:vMerge w:val="continue"/>
            <w:vAlign w:val="center"/>
          </w:tcPr>
          <w:p w14:paraId="22A55BF4">
            <w:pPr>
              <w:widowControl/>
              <w:jc w:val="left"/>
              <w:rPr>
                <w:rFonts w:ascii="宋体" w:hAnsi="宋体" w:cs="宋体"/>
                <w:kern w:val="0"/>
                <w:sz w:val="20"/>
                <w:szCs w:val="20"/>
              </w:rPr>
            </w:pPr>
          </w:p>
        </w:tc>
        <w:tc>
          <w:tcPr>
            <w:tcW w:w="1158" w:type="dxa"/>
            <w:shd w:val="clear" w:color="auto" w:fill="auto"/>
            <w:vAlign w:val="center"/>
          </w:tcPr>
          <w:p w14:paraId="7FDA20AC">
            <w:pPr>
              <w:widowControl/>
              <w:jc w:val="center"/>
              <w:rPr>
                <w:rFonts w:hint="eastAsia" w:ascii="宋体" w:hAnsi="宋体" w:cs="宋体"/>
                <w:kern w:val="0"/>
                <w:sz w:val="20"/>
                <w:szCs w:val="20"/>
              </w:rPr>
            </w:pPr>
            <w:r>
              <w:rPr>
                <w:rFonts w:hint="eastAsia" w:ascii="宋体" w:hAnsi="宋体" w:cs="宋体"/>
                <w:kern w:val="0"/>
                <w:sz w:val="20"/>
                <w:szCs w:val="20"/>
              </w:rPr>
              <w:t>组织教学质量分析会</w:t>
            </w:r>
          </w:p>
        </w:tc>
        <w:tc>
          <w:tcPr>
            <w:tcW w:w="1097" w:type="dxa"/>
            <w:shd w:val="clear" w:color="auto" w:fill="auto"/>
            <w:vAlign w:val="center"/>
          </w:tcPr>
          <w:p w14:paraId="4BC3BCCD">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164" w:type="dxa"/>
            <w:shd w:val="clear" w:color="auto" w:fill="auto"/>
            <w:vAlign w:val="center"/>
          </w:tcPr>
          <w:p w14:paraId="168CA7B3">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76E0EFC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632C8468">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920" w:type="dxa"/>
            <w:shd w:val="clear" w:color="auto" w:fill="auto"/>
            <w:vAlign w:val="center"/>
          </w:tcPr>
          <w:p w14:paraId="33DB23F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720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29CBB247">
            <w:pPr>
              <w:widowControl/>
              <w:jc w:val="left"/>
              <w:rPr>
                <w:rFonts w:ascii="宋体" w:hAnsi="宋体" w:cs="宋体"/>
                <w:kern w:val="0"/>
                <w:sz w:val="20"/>
                <w:szCs w:val="20"/>
              </w:rPr>
            </w:pPr>
          </w:p>
        </w:tc>
        <w:tc>
          <w:tcPr>
            <w:tcW w:w="1191" w:type="dxa"/>
            <w:shd w:val="clear" w:color="auto" w:fill="auto"/>
            <w:vAlign w:val="center"/>
          </w:tcPr>
          <w:p w14:paraId="30D70A53">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58" w:type="dxa"/>
            <w:shd w:val="clear" w:color="auto" w:fill="auto"/>
            <w:vAlign w:val="center"/>
          </w:tcPr>
          <w:p w14:paraId="4BA49B66">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097" w:type="dxa"/>
            <w:shd w:val="clear" w:color="auto" w:fill="auto"/>
            <w:vAlign w:val="center"/>
          </w:tcPr>
          <w:p w14:paraId="5991F4F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vAlign w:val="center"/>
          </w:tcPr>
          <w:p w14:paraId="530D5E6F">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5150301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A957C3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138F748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6A8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376EE4E0">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1" w:type="dxa"/>
            <w:shd w:val="clear" w:color="auto" w:fill="auto"/>
            <w:vAlign w:val="center"/>
          </w:tcPr>
          <w:p w14:paraId="4BC2683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2D404A60">
            <w:pPr>
              <w:widowControl/>
              <w:jc w:val="center"/>
              <w:rPr>
                <w:rFonts w:hint="eastAsia" w:ascii="宋体" w:hAnsi="宋体" w:cs="宋体"/>
                <w:kern w:val="0"/>
                <w:sz w:val="20"/>
                <w:szCs w:val="20"/>
              </w:rPr>
            </w:pPr>
            <w:r>
              <w:rPr>
                <w:rFonts w:hint="eastAsia" w:ascii="宋体" w:hAnsi="宋体" w:cs="宋体"/>
                <w:kern w:val="0"/>
                <w:sz w:val="20"/>
                <w:szCs w:val="20"/>
              </w:rPr>
              <w:t>各类培训及学习次数</w:t>
            </w:r>
          </w:p>
        </w:tc>
        <w:tc>
          <w:tcPr>
            <w:tcW w:w="1097" w:type="dxa"/>
            <w:shd w:val="clear" w:color="auto" w:fill="auto"/>
            <w:vAlign w:val="center"/>
          </w:tcPr>
          <w:p w14:paraId="354018E0">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164" w:type="dxa"/>
            <w:shd w:val="clear" w:color="auto" w:fill="auto"/>
            <w:vAlign w:val="center"/>
          </w:tcPr>
          <w:p w14:paraId="1FCD32CE">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0A8E0D8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35A96AF0">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920" w:type="dxa"/>
            <w:shd w:val="clear" w:color="auto" w:fill="auto"/>
            <w:vAlign w:val="center"/>
          </w:tcPr>
          <w:p w14:paraId="5D0AB2EB">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381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0505CC3">
            <w:pPr>
              <w:widowControl/>
              <w:jc w:val="left"/>
              <w:rPr>
                <w:rFonts w:ascii="宋体" w:hAnsi="宋体" w:cs="宋体"/>
                <w:kern w:val="0"/>
                <w:sz w:val="20"/>
                <w:szCs w:val="20"/>
              </w:rPr>
            </w:pPr>
          </w:p>
        </w:tc>
        <w:tc>
          <w:tcPr>
            <w:tcW w:w="1191" w:type="dxa"/>
            <w:vMerge w:val="restart"/>
            <w:shd w:val="clear" w:color="auto" w:fill="auto"/>
            <w:noWrap/>
            <w:vAlign w:val="center"/>
          </w:tcPr>
          <w:p w14:paraId="230FF01B">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29B8701B">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097" w:type="dxa"/>
            <w:shd w:val="clear" w:color="auto" w:fill="auto"/>
            <w:noWrap/>
            <w:vAlign w:val="center"/>
          </w:tcPr>
          <w:p w14:paraId="0978D54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2FE243FD">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20E2CDD4">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31A1F5FD">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10C9EA4C">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553FF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0A6E4166">
            <w:pPr>
              <w:widowControl/>
              <w:jc w:val="left"/>
              <w:rPr>
                <w:rFonts w:ascii="宋体" w:hAnsi="宋体" w:cs="宋体"/>
                <w:kern w:val="0"/>
                <w:sz w:val="20"/>
                <w:szCs w:val="20"/>
              </w:rPr>
            </w:pPr>
          </w:p>
        </w:tc>
        <w:tc>
          <w:tcPr>
            <w:tcW w:w="1191" w:type="dxa"/>
            <w:vMerge w:val="continue"/>
            <w:vAlign w:val="center"/>
          </w:tcPr>
          <w:p w14:paraId="133B6F5C">
            <w:pPr>
              <w:widowControl/>
              <w:jc w:val="left"/>
              <w:rPr>
                <w:rFonts w:ascii="宋体" w:hAnsi="宋体" w:cs="宋体"/>
                <w:kern w:val="0"/>
                <w:sz w:val="20"/>
                <w:szCs w:val="20"/>
              </w:rPr>
            </w:pPr>
          </w:p>
        </w:tc>
        <w:tc>
          <w:tcPr>
            <w:tcW w:w="1158" w:type="dxa"/>
            <w:shd w:val="clear" w:color="auto" w:fill="auto"/>
            <w:noWrap/>
            <w:vAlign w:val="center"/>
          </w:tcPr>
          <w:p w14:paraId="32CBCCFD">
            <w:pPr>
              <w:widowControl/>
              <w:jc w:val="left"/>
              <w:rPr>
                <w:rFonts w:hint="eastAsia" w:ascii="宋体" w:hAnsi="宋体" w:cs="宋体"/>
                <w:kern w:val="0"/>
                <w:sz w:val="20"/>
                <w:szCs w:val="20"/>
              </w:rPr>
            </w:pPr>
            <w:r>
              <w:rPr>
                <w:rFonts w:hint="eastAsia" w:ascii="宋体" w:hAnsi="宋体" w:cs="宋体"/>
                <w:kern w:val="0"/>
                <w:sz w:val="20"/>
                <w:szCs w:val="20"/>
              </w:rPr>
              <w:t>控辍保学率</w:t>
            </w:r>
          </w:p>
        </w:tc>
        <w:tc>
          <w:tcPr>
            <w:tcW w:w="1097" w:type="dxa"/>
            <w:shd w:val="clear" w:color="auto" w:fill="auto"/>
            <w:noWrap/>
            <w:vAlign w:val="center"/>
          </w:tcPr>
          <w:p w14:paraId="316C1322">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164" w:type="dxa"/>
            <w:shd w:val="clear" w:color="auto" w:fill="auto"/>
            <w:noWrap/>
            <w:vAlign w:val="center"/>
          </w:tcPr>
          <w:p w14:paraId="6BB9769E">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4AE59EB1">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2B2BBF1B">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920" w:type="dxa"/>
            <w:shd w:val="clear" w:color="auto" w:fill="auto"/>
            <w:noWrap/>
            <w:vAlign w:val="center"/>
          </w:tcPr>
          <w:p w14:paraId="1F5BB157">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0CEC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F54BB4B">
            <w:pPr>
              <w:widowControl/>
              <w:jc w:val="left"/>
              <w:rPr>
                <w:rFonts w:ascii="宋体" w:hAnsi="宋体" w:cs="宋体"/>
                <w:kern w:val="0"/>
                <w:sz w:val="20"/>
                <w:szCs w:val="20"/>
              </w:rPr>
            </w:pPr>
          </w:p>
        </w:tc>
        <w:tc>
          <w:tcPr>
            <w:tcW w:w="1191" w:type="dxa"/>
            <w:shd w:val="clear" w:color="auto" w:fill="auto"/>
            <w:noWrap/>
            <w:vAlign w:val="center"/>
          </w:tcPr>
          <w:p w14:paraId="2F56E50E">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noWrap/>
            <w:vAlign w:val="center"/>
          </w:tcPr>
          <w:p w14:paraId="0C0BBFD2">
            <w:pPr>
              <w:widowControl/>
              <w:jc w:val="left"/>
              <w:rPr>
                <w:rFonts w:hint="eastAsia" w:ascii="宋体" w:hAnsi="宋体" w:cs="宋体"/>
                <w:kern w:val="0"/>
                <w:sz w:val="20"/>
                <w:szCs w:val="20"/>
              </w:rPr>
            </w:pPr>
            <w:r>
              <w:rPr>
                <w:rFonts w:hint="eastAsia" w:ascii="宋体" w:hAnsi="宋体" w:cs="宋体"/>
                <w:kern w:val="0"/>
                <w:sz w:val="20"/>
                <w:szCs w:val="20"/>
              </w:rPr>
              <w:t>义务教育学生入学率</w:t>
            </w:r>
          </w:p>
        </w:tc>
        <w:tc>
          <w:tcPr>
            <w:tcW w:w="1097" w:type="dxa"/>
            <w:shd w:val="clear" w:color="auto" w:fill="auto"/>
            <w:noWrap/>
            <w:vAlign w:val="center"/>
          </w:tcPr>
          <w:p w14:paraId="687940CC">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76AEE303">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75DAD519">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4E09BFE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198ECACB">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14BE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277B3F61">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91" w:type="dxa"/>
            <w:shd w:val="clear" w:color="auto" w:fill="auto"/>
            <w:noWrap/>
            <w:vAlign w:val="center"/>
          </w:tcPr>
          <w:p w14:paraId="0406091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14:paraId="6280C07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14:paraId="73C8EC4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14:paraId="2F39B38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14:paraId="1AA7433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14:paraId="4034218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14:paraId="0D6175CB">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1A87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170453EB">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91" w:type="dxa"/>
            <w:shd w:val="clear" w:color="auto" w:fill="auto"/>
            <w:noWrap/>
            <w:vAlign w:val="center"/>
          </w:tcPr>
          <w:p w14:paraId="6FC8051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14:paraId="010E3B2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14:paraId="031CC16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14:paraId="171E85D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14:paraId="1A902E3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14:paraId="4021866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14:paraId="32E728C4">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1FD1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62FA1379">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1" w:type="dxa"/>
            <w:shd w:val="clear" w:color="auto" w:fill="auto"/>
            <w:noWrap/>
            <w:vAlign w:val="center"/>
          </w:tcPr>
          <w:p w14:paraId="647D92B3">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739C029D">
            <w:pPr>
              <w:widowControl/>
              <w:jc w:val="left"/>
              <w:rPr>
                <w:rFonts w:hint="eastAsia" w:ascii="宋体" w:hAnsi="宋体" w:cs="宋体"/>
                <w:kern w:val="0"/>
                <w:sz w:val="20"/>
                <w:szCs w:val="20"/>
              </w:rPr>
            </w:pPr>
            <w:r>
              <w:rPr>
                <w:rFonts w:hint="eastAsia" w:ascii="宋体" w:hAnsi="宋体" w:cs="宋体"/>
                <w:kern w:val="0"/>
                <w:sz w:val="20"/>
                <w:szCs w:val="20"/>
              </w:rPr>
              <w:t>师生满意度</w:t>
            </w:r>
          </w:p>
        </w:tc>
        <w:tc>
          <w:tcPr>
            <w:tcW w:w="1097" w:type="dxa"/>
            <w:shd w:val="clear" w:color="auto" w:fill="auto"/>
            <w:noWrap/>
            <w:vAlign w:val="center"/>
          </w:tcPr>
          <w:p w14:paraId="0958C355">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164" w:type="dxa"/>
            <w:shd w:val="clear" w:color="auto" w:fill="auto"/>
            <w:noWrap/>
            <w:vAlign w:val="center"/>
          </w:tcPr>
          <w:p w14:paraId="7034E437">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32D0988B">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noWrap/>
            <w:vAlign w:val="center"/>
          </w:tcPr>
          <w:p w14:paraId="3523A46E">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920" w:type="dxa"/>
            <w:shd w:val="clear" w:color="auto" w:fill="auto"/>
            <w:noWrap/>
            <w:vAlign w:val="center"/>
          </w:tcPr>
          <w:p w14:paraId="4BA87ED0">
            <w:pPr>
              <w:widowControl/>
              <w:jc w:val="left"/>
              <w:rPr>
                <w:rFonts w:hint="eastAsia" w:ascii="宋体" w:hAnsi="宋体" w:cs="宋体"/>
                <w:kern w:val="0"/>
                <w:sz w:val="20"/>
                <w:szCs w:val="20"/>
              </w:rPr>
            </w:pPr>
            <w:r>
              <w:rPr>
                <w:rFonts w:hint="eastAsia" w:ascii="宋体" w:hAnsi="宋体" w:cs="宋体"/>
                <w:kern w:val="0"/>
                <w:sz w:val="20"/>
                <w:szCs w:val="20"/>
              </w:rPr>
              <w:t>5</w:t>
            </w:r>
          </w:p>
        </w:tc>
      </w:tr>
    </w:tbl>
    <w:p w14:paraId="6B1927B2">
      <w:pPr>
        <w:ind w:firstLine="640" w:firstLineChars="200"/>
        <w:jc w:val="left"/>
        <w:rPr>
          <w:rFonts w:hint="eastAsia" w:ascii="仿宋_GB2312" w:eastAsia="仿宋_GB2312"/>
          <w:sz w:val="32"/>
          <w:szCs w:val="32"/>
        </w:rPr>
      </w:pPr>
    </w:p>
    <w:p w14:paraId="672E7098">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A9D7F33">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2BC30F4">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429DA6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7455B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575DE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FED41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739B64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C707E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D28AA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3989A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855A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EA361B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0E7F3F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E1AC0B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F72EC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FBBC5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6FC560C">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E82005F">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AD6C7E4">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810FBBF">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405D811">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7B0D4C9">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ACD1812">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3844A10">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82F9B3E">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0EACDCA">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70211AF">
      <w:pPr>
        <w:ind w:firstLine="640" w:firstLineChars="200"/>
        <w:rPr>
          <w:rFonts w:ascii="仿宋_GB2312" w:eastAsia="仿宋_GB2312"/>
          <w:sz w:val="32"/>
          <w:szCs w:val="32"/>
        </w:rPr>
      </w:pPr>
    </w:p>
    <w:p w14:paraId="3EEBBC49">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A797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78DE7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378DE7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7E75F1"/>
    <w:rsid w:val="00213C59"/>
    <w:rsid w:val="003210CE"/>
    <w:rsid w:val="007E75F1"/>
    <w:rsid w:val="009245BF"/>
    <w:rsid w:val="00A7656D"/>
    <w:rsid w:val="00B70D59"/>
    <w:rsid w:val="00C642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5861</Words>
  <Characters>6717</Characters>
  <Lines>55</Lines>
  <Paragraphs>15</Paragraphs>
  <TotalTime>5</TotalTime>
  <ScaleCrop>false</ScaleCrop>
  <LinksUpToDate>false</LinksUpToDate>
  <CharactersWithSpaces>6765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2024-08-19T08:04:38Z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